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13</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2419266</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adaptation of common signal/channel of R19 NES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7.22.2.2</w:t>
      </w:r>
      <w:bookmarkStart w:id="0" w:name="_GoBack"/>
      <w:bookmarkEnd w:id="0"/>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meeting, around the SSB adaptation, the following progress was achieved and summarized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overflowPunct/>
              <w:topLinePunct w:val="0"/>
              <w:autoSpaceDE/>
              <w:autoSpaceDN/>
              <w:bidi w:val="0"/>
              <w:adjustRightInd/>
              <w:spacing w:before="0" w:after="0" w:line="240" w:lineRule="auto"/>
              <w:textAlignment w:val="auto"/>
              <w:rPr>
                <w:sz w:val="24"/>
                <w:szCs w:val="16"/>
              </w:rPr>
            </w:pPr>
            <w:r>
              <w:rPr>
                <w:sz w:val="24"/>
                <w:szCs w:val="16"/>
              </w:rPr>
              <w:t xml:space="preserve">Sub-topic 1-1 SSB adapation – Scenario </w:t>
            </w:r>
          </w:p>
          <w:p>
            <w:pPr>
              <w:pageBreakBefore w:val="0"/>
              <w:kinsoku/>
              <w:wordWrap/>
              <w:overflowPunct/>
              <w:topLinePunct w:val="0"/>
              <w:autoSpaceDE/>
              <w:autoSpaceDN/>
              <w:bidi w:val="0"/>
              <w:adjustRightInd/>
              <w:snapToGrid w:val="0"/>
              <w:spacing w:line="240" w:lineRule="auto"/>
              <w:textAlignment w:val="auto"/>
              <w:rPr>
                <w:b/>
                <w:sz w:val="21"/>
                <w:szCs w:val="21"/>
                <w:u w:val="single"/>
                <w:lang w:eastAsia="ko-KR"/>
              </w:rPr>
            </w:pPr>
            <w:r>
              <w:rPr>
                <w:b/>
                <w:sz w:val="21"/>
                <w:szCs w:val="21"/>
                <w:u w:val="single"/>
                <w:lang w:eastAsia="ko-KR"/>
              </w:rPr>
              <w:t>Issue 1-1-1: Scenario clarification based on RAN1 progress</w:t>
            </w:r>
          </w:p>
          <w:p>
            <w:pPr>
              <w:pageBreakBefore w:val="0"/>
              <w:kinsoku/>
              <w:wordWrap/>
              <w:overflowPunct/>
              <w:topLinePunct w:val="0"/>
              <w:autoSpaceDE/>
              <w:autoSpaceDN/>
              <w:bidi w:val="0"/>
              <w:adjustRightInd/>
              <w:snapToGrid w:val="0"/>
              <w:spacing w:line="240" w:lineRule="auto"/>
              <w:textAlignment w:val="auto"/>
              <w:rPr>
                <w:rFonts w:eastAsia="等线"/>
                <w:sz w:val="21"/>
                <w:szCs w:val="21"/>
                <w:highlight w:val="green"/>
                <w:lang w:eastAsia="zh-CN"/>
              </w:rPr>
            </w:pPr>
            <w:r>
              <w:rPr>
                <w:rFonts w:eastAsia="等线"/>
                <w:sz w:val="21"/>
                <w:szCs w:val="21"/>
                <w:highlight w:val="green"/>
                <w:lang w:eastAsia="zh-CN"/>
              </w:rPr>
              <w:t>Agreement:</w:t>
            </w:r>
          </w:p>
          <w:p>
            <w:pPr>
              <w:pStyle w:val="29"/>
              <w:pageBreakBefore w:val="0"/>
              <w:numPr>
                <w:ilvl w:val="1"/>
                <w:numId w:val="5"/>
              </w:numPr>
              <w:kinsoku/>
              <w:wordWrap/>
              <w:overflowPunct/>
              <w:topLinePunct w:val="0"/>
              <w:autoSpaceDE/>
              <w:autoSpaceDN/>
              <w:bidi w:val="0"/>
              <w:adjustRightInd/>
              <w:snapToGrid w:val="0"/>
              <w:spacing w:line="240" w:lineRule="auto"/>
              <w:ind w:left="1656" w:firstLineChars="0"/>
              <w:textAlignment w:val="auto"/>
              <w:rPr>
                <w:szCs w:val="21"/>
                <w:highlight w:val="none"/>
              </w:rPr>
            </w:pPr>
            <w:r>
              <w:rPr>
                <w:szCs w:val="21"/>
                <w:highlight w:val="none"/>
              </w:rPr>
              <w:t>Per RAN1 agreements, RAN4 to take following as starting point for SSB adaption discussion:</w:t>
            </w:r>
          </w:p>
          <w:p>
            <w:pPr>
              <w:pStyle w:val="29"/>
              <w:pageBreakBefore w:val="0"/>
              <w:numPr>
                <w:ilvl w:val="2"/>
                <w:numId w:val="5"/>
              </w:numPr>
              <w:kinsoku/>
              <w:wordWrap/>
              <w:overflowPunct/>
              <w:topLinePunct w:val="0"/>
              <w:autoSpaceDE/>
              <w:autoSpaceDN/>
              <w:bidi w:val="0"/>
              <w:adjustRightInd/>
              <w:snapToGrid w:val="0"/>
              <w:spacing w:line="240" w:lineRule="auto"/>
              <w:ind w:left="2376" w:firstLineChars="0"/>
              <w:textAlignment w:val="auto"/>
              <w:rPr>
                <w:szCs w:val="21"/>
                <w:highlight w:val="none"/>
              </w:rPr>
            </w:pPr>
            <w:r>
              <w:rPr>
                <w:szCs w:val="21"/>
                <w:highlight w:val="none"/>
              </w:rPr>
              <w:t>CONNECTED mode</w:t>
            </w:r>
            <w:r>
              <w:rPr>
                <w:szCs w:val="21"/>
                <w:highlight w:val="none"/>
                <w:u w:val="single"/>
              </w:rPr>
              <w:t xml:space="preserve">, and </w:t>
            </w:r>
          </w:p>
          <w:p>
            <w:pPr>
              <w:pStyle w:val="29"/>
              <w:pageBreakBefore w:val="0"/>
              <w:numPr>
                <w:ilvl w:val="2"/>
                <w:numId w:val="5"/>
              </w:numPr>
              <w:kinsoku/>
              <w:wordWrap/>
              <w:overflowPunct/>
              <w:topLinePunct w:val="0"/>
              <w:autoSpaceDE/>
              <w:autoSpaceDN/>
              <w:bidi w:val="0"/>
              <w:adjustRightInd/>
              <w:snapToGrid w:val="0"/>
              <w:spacing w:line="240" w:lineRule="auto"/>
              <w:ind w:left="2376" w:firstLineChars="0"/>
              <w:textAlignment w:val="auto"/>
              <w:rPr>
                <w:szCs w:val="21"/>
                <w:highlight w:val="none"/>
              </w:rPr>
            </w:pPr>
            <w:r>
              <w:rPr>
                <w:szCs w:val="21"/>
                <w:highlight w:val="none"/>
              </w:rPr>
              <w:t>SSB adaptation for SCell</w:t>
            </w:r>
            <w:r>
              <w:rPr>
                <w:szCs w:val="21"/>
                <w:highlight w:val="none"/>
                <w:u w:val="single"/>
              </w:rPr>
              <w:t>, and</w:t>
            </w:r>
          </w:p>
          <w:p>
            <w:pPr>
              <w:pStyle w:val="29"/>
              <w:pageBreakBefore w:val="0"/>
              <w:numPr>
                <w:ilvl w:val="2"/>
                <w:numId w:val="5"/>
              </w:numPr>
              <w:kinsoku/>
              <w:wordWrap/>
              <w:overflowPunct/>
              <w:topLinePunct w:val="0"/>
              <w:autoSpaceDE/>
              <w:autoSpaceDN/>
              <w:bidi w:val="0"/>
              <w:adjustRightInd/>
              <w:snapToGrid w:val="0"/>
              <w:spacing w:line="240" w:lineRule="auto"/>
              <w:ind w:left="2376" w:firstLineChars="0"/>
              <w:textAlignment w:val="auto"/>
              <w:rPr>
                <w:szCs w:val="21"/>
                <w:highlight w:val="none"/>
              </w:rPr>
            </w:pPr>
            <w:r>
              <w:rPr>
                <w:szCs w:val="21"/>
                <w:highlight w:val="none"/>
              </w:rPr>
              <w:t>SSB adaptation for NCD-SSB</w:t>
            </w:r>
            <w:r>
              <w:rPr>
                <w:szCs w:val="21"/>
                <w:highlight w:val="none"/>
                <w:u w:val="single"/>
              </w:rPr>
              <w:t>, and</w:t>
            </w:r>
          </w:p>
          <w:p>
            <w:pPr>
              <w:pStyle w:val="29"/>
              <w:pageBreakBefore w:val="0"/>
              <w:numPr>
                <w:ilvl w:val="2"/>
                <w:numId w:val="5"/>
              </w:numPr>
              <w:kinsoku/>
              <w:wordWrap/>
              <w:overflowPunct/>
              <w:topLinePunct w:val="0"/>
              <w:autoSpaceDE/>
              <w:autoSpaceDN/>
              <w:bidi w:val="0"/>
              <w:adjustRightInd/>
              <w:snapToGrid w:val="0"/>
              <w:spacing w:line="240" w:lineRule="auto"/>
              <w:ind w:left="2376" w:firstLineChars="0"/>
              <w:textAlignment w:val="auto"/>
              <w:rPr>
                <w:szCs w:val="21"/>
                <w:highlight w:val="none"/>
              </w:rPr>
            </w:pPr>
            <w:r>
              <w:rPr>
                <w:szCs w:val="21"/>
                <w:highlight w:val="none"/>
              </w:rPr>
              <w:t>SSB periodicity adaptation in time-domain</w:t>
            </w:r>
          </w:p>
          <w:p>
            <w:pPr>
              <w:pageBreakBefore w:val="0"/>
              <w:kinsoku/>
              <w:wordWrap/>
              <w:overflowPunct/>
              <w:topLinePunct w:val="0"/>
              <w:autoSpaceDE/>
              <w:autoSpaceDN/>
              <w:bidi w:val="0"/>
              <w:adjustRightInd/>
              <w:snapToGrid w:val="0"/>
              <w:spacing w:line="240" w:lineRule="auto"/>
              <w:ind w:left="1420"/>
              <w:textAlignment w:val="auto"/>
              <w:rPr>
                <w:sz w:val="21"/>
                <w:szCs w:val="21"/>
                <w:highlight w:val="none"/>
                <w:lang w:eastAsia="zh-CN"/>
              </w:rPr>
            </w:pPr>
            <w:r>
              <w:rPr>
                <w:sz w:val="21"/>
                <w:szCs w:val="21"/>
                <w:highlight w:val="none"/>
                <w:lang w:eastAsia="zh-CN"/>
              </w:rPr>
              <w:t>Note: Above could be further updated based on further RAN1 progress (e.g. PCell, other adaptation mechanism)</w:t>
            </w:r>
          </w:p>
          <w:p>
            <w:pPr>
              <w:pageBreakBefore w:val="0"/>
              <w:kinsoku/>
              <w:wordWrap/>
              <w:overflowPunct/>
              <w:topLinePunct w:val="0"/>
              <w:autoSpaceDE/>
              <w:autoSpaceDN/>
              <w:bidi w:val="0"/>
              <w:adjustRightInd/>
              <w:spacing w:line="240" w:lineRule="auto"/>
              <w:textAlignment w:val="auto"/>
              <w:rPr>
                <w:lang w:eastAsia="zh-CN"/>
              </w:rPr>
            </w:pPr>
          </w:p>
          <w:p>
            <w:pPr>
              <w:pageBreakBefore w:val="0"/>
              <w:kinsoku/>
              <w:wordWrap/>
              <w:overflowPunct/>
              <w:topLinePunct w:val="0"/>
              <w:autoSpaceDE/>
              <w:autoSpaceDN/>
              <w:bidi w:val="0"/>
              <w:adjustRightInd/>
              <w:snapToGrid w:val="0"/>
              <w:spacing w:line="240" w:lineRule="auto"/>
              <w:textAlignment w:val="auto"/>
              <w:rPr>
                <w:b/>
                <w:sz w:val="21"/>
                <w:szCs w:val="21"/>
                <w:u w:val="single"/>
                <w:lang w:eastAsia="ko-KR"/>
              </w:rPr>
            </w:pPr>
            <w:r>
              <w:rPr>
                <w:b/>
                <w:sz w:val="21"/>
                <w:szCs w:val="21"/>
                <w:u w:val="single"/>
                <w:lang w:eastAsia="ko-KR"/>
              </w:rPr>
              <w:t>Issue 1-2-1: Requirements need updating</w:t>
            </w:r>
          </w:p>
          <w:p>
            <w:pPr>
              <w:pageBreakBefore w:val="0"/>
              <w:kinsoku/>
              <w:wordWrap/>
              <w:overflowPunct/>
              <w:topLinePunct w:val="0"/>
              <w:autoSpaceDE/>
              <w:autoSpaceDN/>
              <w:bidi w:val="0"/>
              <w:adjustRightInd/>
              <w:snapToGrid w:val="0"/>
              <w:spacing w:line="240" w:lineRule="auto"/>
              <w:textAlignment w:val="auto"/>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pStyle w:val="29"/>
              <w:pageBreakBefore w:val="0"/>
              <w:numPr>
                <w:ilvl w:val="1"/>
                <w:numId w:val="5"/>
              </w:numPr>
              <w:kinsoku/>
              <w:wordWrap/>
              <w:overflowPunct/>
              <w:topLinePunct w:val="0"/>
              <w:autoSpaceDE/>
              <w:autoSpaceDN/>
              <w:bidi w:val="0"/>
              <w:adjustRightInd/>
              <w:snapToGrid w:val="0"/>
              <w:spacing w:line="240" w:lineRule="auto"/>
              <w:ind w:left="1656" w:firstLineChars="0"/>
              <w:textAlignment w:val="auto"/>
              <w:rPr>
                <w:szCs w:val="21"/>
                <w:highlight w:val="none"/>
              </w:rPr>
            </w:pPr>
            <w:r>
              <w:rPr>
                <w:szCs w:val="21"/>
                <w:highlight w:val="none"/>
              </w:rPr>
              <w:t>RAN4 to discuss whether there are any impacts on at least the following RRM requirements due to SSB adaption:</w:t>
            </w:r>
          </w:p>
          <w:p>
            <w:pPr>
              <w:pStyle w:val="29"/>
              <w:pageBreakBefore w:val="0"/>
              <w:numPr>
                <w:ilvl w:val="2"/>
                <w:numId w:val="5"/>
              </w:numPr>
              <w:kinsoku/>
              <w:wordWrap/>
              <w:overflowPunct/>
              <w:topLinePunct w:val="0"/>
              <w:autoSpaceDE/>
              <w:autoSpaceDN/>
              <w:bidi w:val="0"/>
              <w:adjustRightInd/>
              <w:snapToGrid w:val="0"/>
              <w:spacing w:line="240" w:lineRule="auto"/>
              <w:ind w:left="2376" w:firstLineChars="0"/>
              <w:textAlignment w:val="auto"/>
              <w:rPr>
                <w:szCs w:val="21"/>
                <w:highlight w:val="none"/>
              </w:rPr>
            </w:pPr>
            <w:r>
              <w:rPr>
                <w:szCs w:val="21"/>
                <w:highlight w:val="none"/>
              </w:rPr>
              <w:t>L1-RSRP for serving cell</w:t>
            </w:r>
          </w:p>
          <w:p>
            <w:pPr>
              <w:pStyle w:val="29"/>
              <w:pageBreakBefore w:val="0"/>
              <w:numPr>
                <w:ilvl w:val="2"/>
                <w:numId w:val="5"/>
              </w:numPr>
              <w:kinsoku/>
              <w:wordWrap/>
              <w:overflowPunct/>
              <w:topLinePunct w:val="0"/>
              <w:autoSpaceDE/>
              <w:autoSpaceDN/>
              <w:bidi w:val="0"/>
              <w:adjustRightInd/>
              <w:snapToGrid w:val="0"/>
              <w:spacing w:line="240" w:lineRule="auto"/>
              <w:ind w:left="2376" w:firstLineChars="0"/>
              <w:textAlignment w:val="auto"/>
              <w:rPr>
                <w:szCs w:val="21"/>
                <w:highlight w:val="none"/>
              </w:rPr>
            </w:pPr>
            <w:r>
              <w:rPr>
                <w:szCs w:val="21"/>
                <w:highlight w:val="none"/>
              </w:rPr>
              <w:t>L1-SINR</w:t>
            </w:r>
          </w:p>
          <w:p>
            <w:pPr>
              <w:pStyle w:val="29"/>
              <w:pageBreakBefore w:val="0"/>
              <w:numPr>
                <w:ilvl w:val="2"/>
                <w:numId w:val="5"/>
              </w:numPr>
              <w:kinsoku/>
              <w:wordWrap/>
              <w:overflowPunct/>
              <w:topLinePunct w:val="0"/>
              <w:autoSpaceDE/>
              <w:autoSpaceDN/>
              <w:bidi w:val="0"/>
              <w:adjustRightInd/>
              <w:snapToGrid w:val="0"/>
              <w:spacing w:line="240" w:lineRule="auto"/>
              <w:ind w:left="2376" w:firstLineChars="0"/>
              <w:textAlignment w:val="auto"/>
              <w:rPr>
                <w:szCs w:val="21"/>
                <w:highlight w:val="none"/>
              </w:rPr>
            </w:pPr>
            <w:r>
              <w:rPr>
                <w:szCs w:val="21"/>
                <w:highlight w:val="none"/>
              </w:rPr>
              <w:t>BFD</w:t>
            </w:r>
          </w:p>
          <w:p>
            <w:pPr>
              <w:pStyle w:val="29"/>
              <w:pageBreakBefore w:val="0"/>
              <w:numPr>
                <w:ilvl w:val="2"/>
                <w:numId w:val="5"/>
              </w:numPr>
              <w:kinsoku/>
              <w:wordWrap/>
              <w:overflowPunct/>
              <w:topLinePunct w:val="0"/>
              <w:autoSpaceDE/>
              <w:autoSpaceDN/>
              <w:bidi w:val="0"/>
              <w:adjustRightInd/>
              <w:snapToGrid w:val="0"/>
              <w:spacing w:line="240" w:lineRule="auto"/>
              <w:ind w:left="2376" w:firstLineChars="0"/>
              <w:textAlignment w:val="auto"/>
              <w:rPr>
                <w:szCs w:val="21"/>
                <w:highlight w:val="none"/>
              </w:rPr>
            </w:pPr>
            <w:r>
              <w:rPr>
                <w:szCs w:val="21"/>
                <w:highlight w:val="none"/>
              </w:rPr>
              <w:t>CBD</w:t>
            </w:r>
          </w:p>
          <w:p>
            <w:pPr>
              <w:pStyle w:val="29"/>
              <w:pageBreakBefore w:val="0"/>
              <w:numPr>
                <w:ilvl w:val="2"/>
                <w:numId w:val="5"/>
              </w:numPr>
              <w:kinsoku/>
              <w:wordWrap/>
              <w:overflowPunct/>
              <w:topLinePunct w:val="0"/>
              <w:autoSpaceDE/>
              <w:autoSpaceDN/>
              <w:bidi w:val="0"/>
              <w:adjustRightInd/>
              <w:snapToGrid w:val="0"/>
              <w:spacing w:line="240" w:lineRule="auto"/>
              <w:ind w:left="2376" w:firstLineChars="0"/>
              <w:textAlignment w:val="auto"/>
              <w:rPr>
                <w:szCs w:val="21"/>
                <w:highlight w:val="none"/>
              </w:rPr>
            </w:pPr>
            <w:r>
              <w:rPr>
                <w:szCs w:val="21"/>
                <w:highlight w:val="none"/>
              </w:rPr>
              <w:t>SCell activation</w:t>
            </w:r>
          </w:p>
          <w:p>
            <w:pPr>
              <w:pStyle w:val="29"/>
              <w:pageBreakBefore w:val="0"/>
              <w:numPr>
                <w:ilvl w:val="2"/>
                <w:numId w:val="5"/>
              </w:numPr>
              <w:kinsoku/>
              <w:wordWrap/>
              <w:overflowPunct/>
              <w:topLinePunct w:val="0"/>
              <w:autoSpaceDE/>
              <w:autoSpaceDN/>
              <w:bidi w:val="0"/>
              <w:adjustRightInd/>
              <w:snapToGrid w:val="0"/>
              <w:spacing w:line="240" w:lineRule="auto"/>
              <w:ind w:left="2376" w:firstLineChars="0"/>
              <w:textAlignment w:val="auto"/>
              <w:rPr>
                <w:szCs w:val="21"/>
                <w:highlight w:val="none"/>
              </w:rPr>
            </w:pPr>
            <w:r>
              <w:rPr>
                <w:szCs w:val="21"/>
                <w:highlight w:val="none"/>
              </w:rPr>
              <w:t>TCI state switching</w:t>
            </w:r>
          </w:p>
          <w:p>
            <w:pPr>
              <w:pStyle w:val="29"/>
              <w:pageBreakBefore w:val="0"/>
              <w:numPr>
                <w:ilvl w:val="2"/>
                <w:numId w:val="5"/>
              </w:numPr>
              <w:kinsoku/>
              <w:wordWrap/>
              <w:overflowPunct/>
              <w:topLinePunct w:val="0"/>
              <w:autoSpaceDE/>
              <w:autoSpaceDN/>
              <w:bidi w:val="0"/>
              <w:adjustRightInd/>
              <w:snapToGrid w:val="0"/>
              <w:spacing w:line="240" w:lineRule="auto"/>
              <w:ind w:left="2376" w:firstLineChars="0"/>
              <w:textAlignment w:val="auto"/>
              <w:rPr>
                <w:szCs w:val="21"/>
                <w:highlight w:val="none"/>
              </w:rPr>
            </w:pPr>
            <w:r>
              <w:rPr>
                <w:szCs w:val="21"/>
                <w:highlight w:val="none"/>
              </w:rPr>
              <w:t xml:space="preserve">NR intra-frequency L3 measurement </w:t>
            </w:r>
          </w:p>
          <w:p>
            <w:pPr>
              <w:pStyle w:val="29"/>
              <w:pageBreakBefore w:val="0"/>
              <w:numPr>
                <w:ilvl w:val="2"/>
                <w:numId w:val="5"/>
              </w:numPr>
              <w:kinsoku/>
              <w:wordWrap/>
              <w:overflowPunct/>
              <w:topLinePunct w:val="0"/>
              <w:autoSpaceDE/>
              <w:autoSpaceDN/>
              <w:bidi w:val="0"/>
              <w:adjustRightInd/>
              <w:snapToGrid w:val="0"/>
              <w:spacing w:line="240" w:lineRule="auto"/>
              <w:ind w:left="2376" w:firstLineChars="0"/>
              <w:textAlignment w:val="auto"/>
              <w:rPr>
                <w:szCs w:val="21"/>
                <w:highlight w:val="none"/>
              </w:rPr>
            </w:pPr>
            <w:r>
              <w:rPr>
                <w:szCs w:val="21"/>
                <w:highlight w:val="none"/>
              </w:rPr>
              <w:t xml:space="preserve">NR inter-frequency L3 measurement </w:t>
            </w:r>
          </w:p>
          <w:p>
            <w:pPr>
              <w:pStyle w:val="29"/>
              <w:pageBreakBefore w:val="0"/>
              <w:numPr>
                <w:ilvl w:val="0"/>
                <w:numId w:val="0"/>
              </w:numPr>
              <w:kinsoku/>
              <w:wordWrap/>
              <w:overflowPunct/>
              <w:topLinePunct w:val="0"/>
              <w:autoSpaceDE/>
              <w:autoSpaceDN/>
              <w:bidi w:val="0"/>
              <w:adjustRightInd/>
              <w:snapToGrid w:val="0"/>
              <w:spacing w:line="240" w:lineRule="auto"/>
              <w:ind w:left="1296" w:leftChars="0"/>
              <w:textAlignment w:val="auto"/>
              <w:rPr>
                <w:rFonts w:hint="eastAsia" w:cs="Arial"/>
                <w:vertAlign w:val="baseline"/>
                <w:lang w:val="en-US" w:eastAsia="zh-CN"/>
              </w:rPr>
            </w:pPr>
            <w:r>
              <w:rPr>
                <w:sz w:val="21"/>
                <w:szCs w:val="21"/>
                <w:highlight w:val="none"/>
                <w:lang w:eastAsia="zh-CN"/>
              </w:rPr>
              <w:t>Note: Above list could be further updated based on RAN4 discussion</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further views around the adaptation of common signal/channel transmission.</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The Rel-18 WID on NW energy savings for NR led to the specification of some of the techniques that were found beneficial in the study, primarily for RRC Connected, user specific signals and channels, and low load scenarios. The techniques specified in Rel-18 include SSB-less SCell operation for inter-band CA for FR1 and co-located cells, enhancement on cell DTX/DRX mechanism including the alignment of cell DTX/DRX and UE DRX in RRC_CONNECTED mode, inter-node information exchange on cell DTX/DRX, techniques in spatial and power domains to enable efficient adaptation of spatial elements as well as efficient adaptation of power offset values between PDSCH and CSI-RS, as well as mechanisms to prevent legacy UEs camping on cells adopting the Rel-18 NES techniques, CHO procedure enhancement(s), and inter-node beam activation and enhancements on restricting paging in a limited area, and the corresponding RRM/RF core requirements.</w:t>
      </w:r>
    </w:p>
    <w:p>
      <w:pPr>
        <w:pStyle w:val="9"/>
        <w:numPr>
          <w:ilvl w:val="0"/>
          <w:numId w:val="0"/>
        </w:numPr>
        <w:bidi w:val="0"/>
        <w:ind w:leftChars="0"/>
        <w:rPr>
          <w:rFonts w:hint="eastAsia"/>
          <w:lang w:val="en-US" w:eastAsia="zh-CN"/>
        </w:rPr>
      </w:pPr>
      <w:r>
        <w:rPr>
          <w:rFonts w:hint="eastAsia"/>
          <w:lang w:val="en-US" w:eastAsia="zh-CN"/>
        </w:rPr>
        <w:t>The R19 NES aims to further realize NW energy saving through other solutions differing from R18. Furthermore, the applicable scenarios between R18 and R19 are more or less different. Our analysis on R19 objective would start from the applicable scenario.</w:t>
      </w:r>
    </w:p>
    <w:p>
      <w:pPr>
        <w:pStyle w:val="9"/>
        <w:numPr>
          <w:ilvl w:val="0"/>
          <w:numId w:val="0"/>
        </w:numPr>
        <w:bidi w:val="0"/>
        <w:ind w:leftChars="0"/>
        <w:rPr>
          <w:rFonts w:hint="default"/>
          <w:lang w:val="en-US" w:eastAsia="zh-CN"/>
        </w:rPr>
      </w:pPr>
      <w:r>
        <w:rPr>
          <w:rFonts w:hint="eastAsia"/>
          <w:lang w:val="en-US" w:eastAsia="zh-CN"/>
        </w:rPr>
        <w:t xml:space="preserve">In last RAN4 meeting, RAN4 approved to send one LS to RAN2 to request the SMTC impact caused by SSB adaptation. Since RAN1 only focuses on L1 measurement referring to the SSB adaptation, but from RAN4 perspecive, L3 measurement should also be considered, and L3 measurement is performed based on SMTC configuration, So whether the SSB adaptation would lead to relevent SMTC adaptation, which should be identified. We can wait for RAN2 reply. </w:t>
      </w:r>
    </w:p>
    <w:p>
      <w:pPr>
        <w:pStyle w:val="9"/>
        <w:numPr>
          <w:ilvl w:val="0"/>
          <w:numId w:val="0"/>
        </w:numPr>
        <w:bidi w:val="0"/>
        <w:ind w:leftChars="0"/>
        <w:rPr>
          <w:rFonts w:hint="eastAsia"/>
          <w:lang w:val="en-US" w:eastAsia="zh-CN"/>
        </w:rPr>
      </w:pPr>
      <w:r>
        <w:rPr>
          <w:rFonts w:hint="eastAsia"/>
          <w:lang w:val="en-US" w:eastAsia="zh-CN"/>
        </w:rPr>
        <w:t>Regarding the PCell measurement, RAN4 decides to wait for RAN1 further conclusion. Based on the latest RAN1 progress, which SSB could be adapted in time-domain are discussing for PCell and SCell respectively. For PCell, the adaptation of CD-SSB on sync raster has been excluded. For SCell, the adaptation of NCD-SSB is allowed. So starting from this, the adaptation of NCD-SSB not on sync raster for PCell could be supported.</w:t>
      </w:r>
    </w:p>
    <w:p>
      <w:pPr>
        <w:pStyle w:val="9"/>
        <w:numPr>
          <w:ilvl w:val="0"/>
          <w:numId w:val="0"/>
        </w:numPr>
        <w:bidi w:val="0"/>
        <w:ind w:leftChars="0"/>
        <w:rPr>
          <w:rFonts w:hint="default"/>
          <w:b/>
          <w:bCs/>
          <w:lang w:val="en-US" w:eastAsia="zh-CN"/>
        </w:rPr>
      </w:pPr>
      <w:r>
        <w:rPr>
          <w:rFonts w:hint="eastAsia"/>
          <w:b/>
          <w:bCs/>
          <w:lang w:val="en-US" w:eastAsia="zh-CN"/>
        </w:rPr>
        <w:t>Proposal 1: In time domain, the adaptation of NCD-SSB not on sync raster for PCell could be supported.</w:t>
      </w:r>
    </w:p>
    <w:p>
      <w:pPr>
        <w:pStyle w:val="9"/>
        <w:numPr>
          <w:ilvl w:val="0"/>
          <w:numId w:val="0"/>
        </w:numPr>
        <w:bidi w:val="0"/>
        <w:ind w:leftChars="0"/>
        <w:rPr>
          <w:rFonts w:hint="eastAsia"/>
          <w:lang w:val="en-US" w:eastAsia="zh-CN"/>
        </w:rPr>
      </w:pPr>
      <w:r>
        <w:rPr>
          <w:rFonts w:hint="eastAsia"/>
          <w:lang w:val="en-US" w:eastAsia="zh-CN"/>
        </w:rPr>
        <w:t xml:space="preserve">Regarding the impact of such time domain adaptation of SSB, the transition period should be identified. For all SSB adaptation applicable scenarios, including the approved L1-RSRP, L1-SINR, BFD, CBD, SCell activation TCI state swithcing and L3 measurements, the the transition would happen, so the requirements of transition period should be identified. </w:t>
      </w:r>
    </w:p>
    <w:p>
      <w:pPr>
        <w:pStyle w:val="9"/>
        <w:numPr>
          <w:ilvl w:val="0"/>
          <w:numId w:val="0"/>
        </w:numPr>
        <w:bidi w:val="0"/>
        <w:ind w:leftChars="0"/>
        <w:rPr>
          <w:rFonts w:hint="default"/>
          <w:lang w:val="en-US" w:eastAsia="zh-CN"/>
        </w:rPr>
      </w:pPr>
      <w:r>
        <w:rPr>
          <w:rFonts w:hint="eastAsia"/>
          <w:lang w:val="en-US" w:eastAsia="zh-CN"/>
        </w:rPr>
        <w:t>When the transition happens, which means the adapted new SSB periodicity should be used to identify the relevant L1/L3 measurement requirements. So the adapted SSB periodicity should be used to identify the relevant measurement requirements.</w:t>
      </w:r>
    </w:p>
    <w:p>
      <w:pPr>
        <w:pStyle w:val="9"/>
        <w:bidi w:val="0"/>
        <w:rPr>
          <w:rFonts w:hint="default"/>
          <w:lang w:val="en-US" w:eastAsia="zh-CN"/>
        </w:rPr>
      </w:pPr>
      <w:r>
        <w:rPr>
          <w:rFonts w:hint="eastAsia"/>
          <w:b/>
          <w:bCs/>
          <w:lang w:val="en-US" w:eastAsia="zh-CN"/>
        </w:rPr>
        <w:t>Proposal 2: The impact caused by the SSB adaptation in time domain is to identify the relevant L1/L3 measurement requirements based on the adapted SSB periodicity. When the transition happens, UE identifies the relevant L1/L3 measurement requirements based on the adapted SSB periodicity.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numPr>
          <w:ilvl w:val="0"/>
          <w:numId w:val="0"/>
        </w:numPr>
        <w:bidi w:val="0"/>
        <w:ind w:leftChars="0"/>
        <w:rPr>
          <w:rFonts w:hint="default"/>
          <w:b/>
          <w:bCs/>
          <w:lang w:val="en-US" w:eastAsia="zh-CN"/>
        </w:rPr>
      </w:pPr>
      <w:r>
        <w:rPr>
          <w:rFonts w:hint="eastAsia"/>
          <w:b/>
          <w:bCs/>
          <w:lang w:val="en-US" w:eastAsia="zh-CN"/>
        </w:rPr>
        <w:t>Proposal 1: In time domain, the adaptation of NCD-SSB not on sync raster for PCell could be supported.</w:t>
      </w:r>
    </w:p>
    <w:p>
      <w:pPr>
        <w:pStyle w:val="9"/>
        <w:bidi w:val="0"/>
        <w:rPr>
          <w:rFonts w:hint="default"/>
          <w:lang w:val="en-US" w:eastAsia="zh-CN"/>
        </w:rPr>
      </w:pPr>
      <w:r>
        <w:rPr>
          <w:rFonts w:hint="eastAsia"/>
          <w:b/>
          <w:bCs/>
          <w:lang w:val="en-US" w:eastAsia="zh-CN"/>
        </w:rPr>
        <w:t>Proposal 2: The impact caused by the SSB adaptation in time domain is to identify the relevant L1/L3 measurement requirements based on the adapted SSB periodicity. When the transition happens, UE identifies the relevant L1/L3 measurement requirements based on the adapted SSB periodicity.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R4-2416860, WF on Netw_Energy_NR_enh_Part2, Huawei, RAN4#112bis.</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B44F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505F73"/>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E30DB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C85AA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A50C45"/>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054CD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2F23"/>
    <w:rsid w:val="442739BA"/>
    <w:rsid w:val="443029F6"/>
    <w:rsid w:val="443C20C1"/>
    <w:rsid w:val="44455943"/>
    <w:rsid w:val="444C5F5A"/>
    <w:rsid w:val="44616642"/>
    <w:rsid w:val="44646AE5"/>
    <w:rsid w:val="44776310"/>
    <w:rsid w:val="448F338E"/>
    <w:rsid w:val="448F5150"/>
    <w:rsid w:val="44955526"/>
    <w:rsid w:val="44972678"/>
    <w:rsid w:val="449E40F6"/>
    <w:rsid w:val="44B5545B"/>
    <w:rsid w:val="44BD15A5"/>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CF1024"/>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830FBE"/>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8529A"/>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1176E"/>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2024-11-08T14:08:33Z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